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9C" w:rsidRPr="008A68D3" w:rsidRDefault="00312B9C" w:rsidP="00312B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«Развитие речи детей трехлетнего возраста»</w:t>
      </w:r>
    </w:p>
    <w:p w:rsidR="00312B9C" w:rsidRPr="008A68D3" w:rsidRDefault="00312B9C" w:rsidP="00312B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 </w:t>
      </w:r>
    </w:p>
    <w:p w:rsidR="00312B9C" w:rsidRPr="008A68D3" w:rsidRDefault="00312B9C" w:rsidP="00312B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Речь ребенка развивается всесторонне: словарный запас, грамматический строй речи, звукопроизношение. Словарный состав языка – это все слова, имеющиеся в нем. Грамматический строй определяет правила соединения слов в предложении. Любое слово, фраза находят свое выражение лишь с помощью тех или иных звуков. Все эти структурные части языка теснейшим образом связаны друг с другом. Словарь и грамматический строй развиваются и совершенствуются постоянно не только в дошкольном возрасте, но и в процессе обучения в школе. Правильное звукопроизношение формируется у ребенка в основном к пяти – шести годам. Поэтому формирование правильного произношения всех звуков русского языка должно быть закончено в дошкольном возрасте.</w:t>
      </w:r>
    </w:p>
    <w:p w:rsidR="00312B9C" w:rsidRPr="008A68D3" w:rsidRDefault="00312B9C" w:rsidP="00312B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Речь не является врожденной способностью человека, она формируется постепенно, вместе с развитием ребенка. Для нормального становления речи необходим определенный уровень зрелости головного мозга, органов чувств, 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речедвигательного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и речеслухового анализаторов. Все это зависит от окружающей среды. Если ребенок не получает новых ярких впечатлений, не создана обстановка, способствующая развитию движений и речи, задерживается его физическое и психическое развитие. Для развития речи большое значение имеет психофизическое здоровье ребенка – состояние высших психических процессов (внимания, памяти, воображения, мышления), а также его физическое и (соматическое) состояние.</w:t>
      </w:r>
    </w:p>
    <w:p w:rsidR="00312B9C" w:rsidRPr="008A68D3" w:rsidRDefault="00312B9C" w:rsidP="00312B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 </w:t>
      </w:r>
    </w:p>
    <w:p w:rsidR="00312B9C" w:rsidRPr="008A68D3" w:rsidRDefault="00312B9C" w:rsidP="00312B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 </w:t>
      </w:r>
    </w:p>
    <w:p w:rsidR="00312B9C" w:rsidRPr="008A68D3" w:rsidRDefault="00312B9C" w:rsidP="00312B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На третьем  году жизни у детей появляется более точное произношение  слов и уже не только те, кто постоянно общается с ребенком, но все окружающие начинают понимать его речь. Но  все же дети нередко пропускают в слове отдельные слоги («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клой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»- открой, «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сото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» - высоко), а при стечении согласных один звук («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камейка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» - скамейка, «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тул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» - стул); вставляют лишние</w:t>
      </w:r>
    </w:p>
    <w:p w:rsidR="00312B9C" w:rsidRPr="008A68D3" w:rsidRDefault="00312B9C" w:rsidP="00312B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 </w:t>
      </w:r>
    </w:p>
    <w:p w:rsidR="00312B9C" w:rsidRPr="008A68D3" w:rsidRDefault="00312B9C" w:rsidP="00312B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звуки в слово («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цветончек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» - цветочек) и т. п. В этот период жизни для ребенка важно, чтобы речь взрослого служила  примером для подражания и была образцом грамотной речи. На  третьем году жизни ребенок начинает высказывать элементарные суждения о предметах, простых явлениях. При этом он пользуется как однословными предложениями («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Мосьно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?»- Можно?), так и предложениями из нескольких слов («Мама будет 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умываца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» - Мама будет умываться). Однако речь детей еще очень несовершенна. Зачастую они допускают ошибки в роде существительных (« Куда папа посола?» - Куда папа пошел?), в числе и падеже («Вот 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лубасек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» - Вот рубашка); не всегда употребляют союзы и предлоги(«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Миса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сидит 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кусит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» - Миша сидит и кушает; «Кису 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каду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паток» - Кошку кладу в платок) и т. д.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312B9C" w:rsidRPr="008A68D3" w:rsidRDefault="00312B9C" w:rsidP="008A68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О произносительной стороне речи ребенка можно судить лишь тогда, когда у него накопится значительный запас слов, так как звуки и их различные сочетания усваиваются детьми лишь через слово, которое является для них наименьшей единицей речи. Время и порядок появления звуков у разных детей неодинаковы.         Обычно к двум годам ребенок усваивает губные звуки (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п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п’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б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б’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м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м</w:t>
      </w:r>
      <w:proofErr w:type="spellEnd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’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), </w:t>
      </w:r>
      <w:proofErr w:type="spellStart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губно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– зубные (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ф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ф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’,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в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в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’), переднеязычные(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т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,т’,д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д</w:t>
      </w:r>
      <w:proofErr w:type="spellEnd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 xml:space="preserve">’,  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н</w:t>
      </w:r>
      <w:proofErr w:type="spellEnd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 xml:space="preserve">, 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н</w:t>
      </w:r>
      <w:proofErr w:type="spellEnd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 xml:space="preserve">’, 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с’,л</w:t>
      </w:r>
      <w:proofErr w:type="spellEnd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’ 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)заднеязычные (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к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к’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г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г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’,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х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х</w:t>
      </w:r>
      <w:proofErr w:type="spellEnd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’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). Свистящие (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с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з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з</w:t>
      </w:r>
      <w:proofErr w:type="spellEnd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’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ц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), шипящие (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ш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ж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ч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щ</w:t>
      </w:r>
      <w:proofErr w:type="spellEnd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) и сонорные (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р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</w:t>
      </w:r>
      <w:proofErr w:type="spellStart"/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р</w:t>
      </w:r>
      <w:proofErr w:type="spellEnd"/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>’,</w:t>
      </w:r>
      <w:r w:rsidRPr="008A68D3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 л</w:t>
      </w:r>
      <w:r w:rsidRPr="008A68D3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) он обычно или пропускает, или заменяет на другие звуки. </w:t>
      </w:r>
      <w:r w:rsidR="008A68D3">
        <w:rPr>
          <w:rFonts w:asciiTheme="majorHAnsi" w:eastAsia="Times New Roman" w:hAnsiTheme="majorHAnsi" w:cs="Arial"/>
          <w:color w:val="000000" w:themeColor="text1"/>
          <w:lang w:eastAsia="ru-RU"/>
        </w:rPr>
        <w:t>Для этого нужно делать арт</w:t>
      </w:r>
      <w:r w:rsidR="003E790A">
        <w:rPr>
          <w:rFonts w:asciiTheme="majorHAnsi" w:eastAsia="Times New Roman" w:hAnsiTheme="majorHAnsi" w:cs="Arial"/>
          <w:color w:val="000000" w:themeColor="text1"/>
          <w:lang w:eastAsia="ru-RU"/>
        </w:rPr>
        <w:t>икулярную гимнастику с ребенком  желате</w:t>
      </w:r>
      <w:r w:rsidR="008A68D3">
        <w:rPr>
          <w:rFonts w:asciiTheme="majorHAnsi" w:eastAsia="Times New Roman" w:hAnsiTheme="majorHAnsi" w:cs="Arial"/>
          <w:color w:val="000000" w:themeColor="text1"/>
          <w:lang w:eastAsia="ru-RU"/>
        </w:rPr>
        <w:t>льно каждый день по 5-7 минут.</w:t>
      </w:r>
      <w:r w:rsidR="003E790A" w:rsidRPr="003E790A">
        <w:rPr>
          <w:rFonts w:asciiTheme="majorHAnsi" w:eastAsia="Times New Roman" w:hAnsiTheme="majorHAnsi" w:cs="Arial"/>
          <w:color w:val="000000" w:themeColor="text1"/>
          <w:lang w:eastAsia="ru-RU"/>
        </w:rPr>
        <w:drawing>
          <wp:inline distT="0" distB="0" distL="0" distR="0">
            <wp:extent cx="973771" cy="1156689"/>
            <wp:effectExtent l="209550" t="171450" r="397829" b="348261"/>
            <wp:docPr id="6" name="Рисунок 3" descr="C:\Users\Дарья\Desktop\газета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газета\i (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34884">
                      <a:off x="0" y="0"/>
                      <a:ext cx="973771" cy="1156689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6377" w:rsidRDefault="00AB6377"/>
    <w:sectPr w:rsidR="00AB6377" w:rsidSect="003E790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2B9C"/>
    <w:rsid w:val="00312B9C"/>
    <w:rsid w:val="003E790A"/>
    <w:rsid w:val="008A68D3"/>
    <w:rsid w:val="00AB6377"/>
    <w:rsid w:val="00E6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0E21-36CB-44BB-B687-9F941CF5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2017-11-20T10:18:00Z</dcterms:created>
  <dcterms:modified xsi:type="dcterms:W3CDTF">2017-11-20T10:54:00Z</dcterms:modified>
</cp:coreProperties>
</file>